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F1752" w14:textId="7D8DF758" w:rsidR="00E662FD" w:rsidRDefault="00562664" w:rsidP="00535594">
      <w:pPr>
        <w:pStyle w:val="Address"/>
        <w:rPr>
          <w:noProof/>
          <w:szCs w:val="20"/>
          <w:highlight w:val="yellow"/>
        </w:rPr>
      </w:pPr>
      <w:r>
        <w:rPr>
          <w:noProof/>
        </w:rPr>
        <w:drawing>
          <wp:inline distT="0" distB="0" distL="0" distR="0" wp14:anchorId="4A56E8FF" wp14:editId="525376BC">
            <wp:extent cx="2846705" cy="876247"/>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5978"/>
                    <a:stretch/>
                  </pic:blipFill>
                  <pic:spPr bwMode="auto">
                    <a:xfrm>
                      <a:off x="0" y="0"/>
                      <a:ext cx="2852106" cy="877909"/>
                    </a:xfrm>
                    <a:prstGeom prst="rect">
                      <a:avLst/>
                    </a:prstGeom>
                    <a:ln>
                      <a:noFill/>
                    </a:ln>
                    <a:extLst>
                      <a:ext uri="{53640926-AAD7-44D8-BBD7-CCE9431645EC}">
                        <a14:shadowObscured xmlns:a14="http://schemas.microsoft.com/office/drawing/2010/main"/>
                      </a:ext>
                    </a:extLst>
                  </pic:spPr>
                </pic:pic>
              </a:graphicData>
            </a:graphic>
          </wp:inline>
        </w:drawing>
      </w:r>
    </w:p>
    <w:p w14:paraId="7BAE79D4" w14:textId="77777777" w:rsidR="0001469A" w:rsidRDefault="000862D9" w:rsidP="00320ED9">
      <w:r>
        <w:rPr>
          <w:noProof/>
          <w:lang w:eastAsia="en-GB"/>
        </w:rPr>
        <mc:AlternateContent>
          <mc:Choice Requires="wps">
            <w:drawing>
              <wp:anchor distT="0" distB="0" distL="114300" distR="114300" simplePos="0" relativeHeight="251659264" behindDoc="0" locked="0" layoutInCell="1" allowOverlap="1" wp14:anchorId="5F94EBA5" wp14:editId="1705BC13">
                <wp:simplePos x="0" y="0"/>
                <wp:positionH relativeFrom="column">
                  <wp:posOffset>0</wp:posOffset>
                </wp:positionH>
                <wp:positionV relativeFrom="paragraph">
                  <wp:posOffset>142875</wp:posOffset>
                </wp:positionV>
                <wp:extent cx="5940000" cy="0"/>
                <wp:effectExtent l="0" t="19050" r="22860" b="19050"/>
                <wp:wrapNone/>
                <wp:docPr id="2" name="Straight Connector 2"/>
                <wp:cNvGraphicFramePr/>
                <a:graphic xmlns:a="http://schemas.openxmlformats.org/drawingml/2006/main">
                  <a:graphicData uri="http://schemas.microsoft.com/office/word/2010/wordprocessingShape">
                    <wps:wsp>
                      <wps:cNvCnPr/>
                      <wps:spPr>
                        <a:xfrm>
                          <a:off x="0" y="0"/>
                          <a:ext cx="5940000" cy="0"/>
                        </a:xfrm>
                        <a:prstGeom prst="line">
                          <a:avLst/>
                        </a:prstGeom>
                        <a:ln w="28575">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47D311D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1.25pt" to="467.7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" strokecolor="#7030a0" strokeweight="2.25pt"/>
            </w:pict>
          </mc:Fallback>
        </mc:AlternateContent>
      </w:r>
    </w:p>
    <w:p w14:paraId="5E43735B" w14:textId="77777777" w:rsidR="00D61229" w:rsidRDefault="00D61229" w:rsidP="00320ED9">
      <w:pPr>
        <w:rPr>
          <w:rFonts w:cstheme="minorHAnsi"/>
        </w:rPr>
      </w:pPr>
    </w:p>
    <w:p w14:paraId="6F84C06F" w14:textId="73200522" w:rsidR="000666DD" w:rsidRPr="00F53E77" w:rsidRDefault="000666DD" w:rsidP="00320ED9">
      <w:pPr>
        <w:rPr>
          <w:rFonts w:cstheme="minorHAnsi"/>
        </w:rPr>
      </w:pPr>
      <w:r w:rsidRPr="00F53E77">
        <w:rPr>
          <w:rFonts w:cstheme="minorHAnsi"/>
        </w:rPr>
        <w:t xml:space="preserve">Dear </w:t>
      </w:r>
      <w:r w:rsidR="009942E1">
        <w:rPr>
          <w:rFonts w:cstheme="minorHAnsi"/>
        </w:rPr>
        <w:t>xxx</w:t>
      </w:r>
      <w:r w:rsidR="00611838">
        <w:rPr>
          <w:rFonts w:cstheme="minorHAnsi"/>
        </w:rPr>
        <w:t xml:space="preserve">, </w:t>
      </w:r>
    </w:p>
    <w:p w14:paraId="43EE845E" w14:textId="667AB396" w:rsidR="00F53E77" w:rsidRPr="00F53E77" w:rsidRDefault="00F53E77" w:rsidP="00A0161C">
      <w:pPr>
        <w:rPr>
          <w:rFonts w:cstheme="minorHAnsi"/>
          <w:b/>
          <w:szCs w:val="22"/>
        </w:rPr>
      </w:pPr>
      <w:r w:rsidRPr="00F53E77">
        <w:rPr>
          <w:rFonts w:cstheme="minorHAnsi"/>
          <w:b/>
          <w:szCs w:val="22"/>
        </w:rPr>
        <w:t xml:space="preserve">Invitation to endorse the recommendations </w:t>
      </w:r>
      <w:r w:rsidR="000669DC">
        <w:rPr>
          <w:rFonts w:cstheme="minorHAnsi"/>
          <w:b/>
          <w:szCs w:val="22"/>
        </w:rPr>
        <w:t>from</w:t>
      </w:r>
      <w:r w:rsidR="00241AA8">
        <w:rPr>
          <w:rFonts w:cstheme="minorHAnsi"/>
          <w:b/>
          <w:szCs w:val="22"/>
        </w:rPr>
        <w:t xml:space="preserve"> the</w:t>
      </w:r>
      <w:r w:rsidR="000669DC">
        <w:rPr>
          <w:rFonts w:cstheme="minorHAnsi"/>
          <w:b/>
          <w:szCs w:val="22"/>
        </w:rPr>
        <w:t xml:space="preserve"> </w:t>
      </w:r>
      <w:r w:rsidR="000669DC" w:rsidRPr="000669DC">
        <w:rPr>
          <w:b/>
          <w:bCs/>
          <w:color w:val="7030A0"/>
        </w:rPr>
        <w:t>Think Brain Health</w:t>
      </w:r>
      <w:r w:rsidR="00562664">
        <w:rPr>
          <w:b/>
          <w:bCs/>
          <w:color w:val="7030A0"/>
        </w:rPr>
        <w:t xml:space="preserve"> Global</w:t>
      </w:r>
      <w:r w:rsidR="000669DC">
        <w:rPr>
          <w:rFonts w:cstheme="minorHAnsi"/>
          <w:b/>
          <w:szCs w:val="22"/>
        </w:rPr>
        <w:t xml:space="preserve"> policy initiative</w:t>
      </w:r>
      <w:r w:rsidR="000669DC">
        <w:rPr>
          <w:rStyle w:val="CommentReference"/>
          <w:rFonts w:eastAsia="Calibri"/>
          <w:szCs w:val="20"/>
          <w:lang w:eastAsia="ja-JP"/>
        </w:rPr>
        <w:t xml:space="preserve"> </w:t>
      </w:r>
    </w:p>
    <w:p w14:paraId="2E64A5F7" w14:textId="37547CED" w:rsidR="006F6262" w:rsidRDefault="00962116" w:rsidP="00245064">
      <w:r>
        <w:t>As</w:t>
      </w:r>
      <w:r w:rsidR="000D19B6">
        <w:t xml:space="preserve"> Chair</w:t>
      </w:r>
      <w:r w:rsidR="006F6262">
        <w:t xml:space="preserve"> </w:t>
      </w:r>
      <w:r>
        <w:t xml:space="preserve">of the </w:t>
      </w:r>
      <w:r w:rsidR="008F2F27" w:rsidRPr="000669DC">
        <w:rPr>
          <w:b/>
          <w:bCs/>
          <w:color w:val="7030A0"/>
        </w:rPr>
        <w:t>Think Brain Health</w:t>
      </w:r>
      <w:r w:rsidR="00562664">
        <w:rPr>
          <w:b/>
          <w:bCs/>
          <w:color w:val="7030A0"/>
        </w:rPr>
        <w:t xml:space="preserve"> Global</w:t>
      </w:r>
      <w:r w:rsidR="008F2F27" w:rsidRPr="000669DC">
        <w:t xml:space="preserve"> initiative</w:t>
      </w:r>
      <w:r w:rsidR="001E577B" w:rsidRPr="000669DC">
        <w:t>,</w:t>
      </w:r>
      <w:r w:rsidR="001E577B" w:rsidRPr="00E662FD">
        <w:t xml:space="preserve"> </w:t>
      </w:r>
      <w:r w:rsidR="00160F44">
        <w:t>I</w:t>
      </w:r>
      <w:r w:rsidR="006F6262">
        <w:t xml:space="preserve"> </w:t>
      </w:r>
      <w:r w:rsidR="001E577B" w:rsidRPr="00E662FD">
        <w:t xml:space="preserve">invite </w:t>
      </w:r>
      <w:r w:rsidR="009942E1">
        <w:t>xxx</w:t>
      </w:r>
      <w:r>
        <w:t xml:space="preserve"> to </w:t>
      </w:r>
      <w:r>
        <w:rPr>
          <w:b/>
        </w:rPr>
        <w:t>endorse</w:t>
      </w:r>
      <w:r w:rsidR="001E577B" w:rsidRPr="000862D9">
        <w:rPr>
          <w:b/>
        </w:rPr>
        <w:t xml:space="preserve"> the recommendations</w:t>
      </w:r>
      <w:r w:rsidR="00806276">
        <w:t xml:space="preserve"> of </w:t>
      </w:r>
      <w:r w:rsidR="00803FFD">
        <w:t xml:space="preserve">the </w:t>
      </w:r>
      <w:r w:rsidR="00E02A2D">
        <w:t>policy report</w:t>
      </w:r>
      <w:r w:rsidR="001F429B">
        <w:t xml:space="preserve">, </w:t>
      </w:r>
      <w:r w:rsidR="00245064">
        <w:rPr>
          <w:i/>
        </w:rPr>
        <w:t>Time matters: a call to prioritize brain health</w:t>
      </w:r>
      <w:r w:rsidR="00E02A2D">
        <w:t xml:space="preserve">. </w:t>
      </w:r>
    </w:p>
    <w:p w14:paraId="4EDA4538" w14:textId="08DB620F" w:rsidR="00245064" w:rsidRDefault="00245064" w:rsidP="00245064">
      <w:r w:rsidRPr="00245064">
        <w:t xml:space="preserve">The </w:t>
      </w:r>
      <w:hyperlink r:id="rId7" w:history="1">
        <w:r w:rsidRPr="00D61229">
          <w:rPr>
            <w:rStyle w:val="Hyperlink"/>
            <w:b/>
            <w:bCs/>
            <w:color w:val="7030A0"/>
          </w:rPr>
          <w:t>evidence-based policy recommendations</w:t>
        </w:r>
      </w:hyperlink>
      <w:r w:rsidRPr="00245064">
        <w:t xml:space="preserve"> in this report challenge policymakers, researchers, funding bodies and healthcare professionals to collaborate in planning now for the healthcare structures of the future. The report also explains how individuals can participate actively in prioritizing their own brain health and discusses the potential of prevention strategies to limit the impact of neurodegenerative diseases. </w:t>
      </w:r>
    </w:p>
    <w:p w14:paraId="40B66615" w14:textId="30BA9CEA" w:rsidR="00147A3E" w:rsidRDefault="00147A3E" w:rsidP="00147A3E">
      <w:r>
        <w:t>A</w:t>
      </w:r>
      <w:r w:rsidRPr="00E662FD">
        <w:t>vailable on</w:t>
      </w:r>
      <w:r>
        <w:t xml:space="preserve">line </w:t>
      </w:r>
      <w:r w:rsidRPr="00CD56A7">
        <w:t xml:space="preserve">at </w:t>
      </w:r>
      <w:hyperlink r:id="rId8" w:history="1">
        <w:r w:rsidR="009F4068" w:rsidRPr="00CD56A7">
          <w:rPr>
            <w:rStyle w:val="Hyperlink"/>
          </w:rPr>
          <w:t>www.thinkbrainhealth.org/resources/#</w:t>
        </w:r>
      </w:hyperlink>
      <w:r w:rsidRPr="00612C63">
        <w:rPr>
          <w:rStyle w:val="Hyperlink"/>
          <w:color w:val="7030A0"/>
        </w:rPr>
        <w:t>,</w:t>
      </w:r>
      <w:r>
        <w:rPr>
          <w:rStyle w:val="Orangehighlight"/>
          <w:color w:val="auto"/>
        </w:rPr>
        <w:t xml:space="preserve"> the report</w:t>
      </w:r>
      <w:r>
        <w:t xml:space="preserve"> includes recommendations grouped under three themes:</w:t>
      </w:r>
    </w:p>
    <w:p w14:paraId="30771111" w14:textId="77777777" w:rsidR="00147A3E" w:rsidRDefault="00147A3E" w:rsidP="00147A3E">
      <w:pPr>
        <w:pStyle w:val="ListParagraph"/>
        <w:numPr>
          <w:ilvl w:val="0"/>
          <w:numId w:val="14"/>
        </w:numPr>
      </w:pPr>
      <w:r>
        <w:t>Health promotion</w:t>
      </w:r>
    </w:p>
    <w:p w14:paraId="62D6800E" w14:textId="77777777" w:rsidR="00147A3E" w:rsidRDefault="00147A3E" w:rsidP="00147A3E">
      <w:pPr>
        <w:pStyle w:val="ListParagraph"/>
        <w:numPr>
          <w:ilvl w:val="0"/>
          <w:numId w:val="14"/>
        </w:numPr>
      </w:pPr>
      <w:r>
        <w:t xml:space="preserve">Clinical </w:t>
      </w:r>
    </w:p>
    <w:p w14:paraId="568B7FE5" w14:textId="6363B82E" w:rsidR="00147A3E" w:rsidRDefault="00147A3E" w:rsidP="00245064">
      <w:pPr>
        <w:pStyle w:val="ListParagraph"/>
        <w:numPr>
          <w:ilvl w:val="0"/>
          <w:numId w:val="14"/>
        </w:numPr>
        <w:spacing w:before="240"/>
      </w:pPr>
      <w:r>
        <w:t xml:space="preserve">Research </w:t>
      </w:r>
    </w:p>
    <w:p w14:paraId="039DA397" w14:textId="77777777" w:rsidR="00147A3E" w:rsidRDefault="00147A3E" w:rsidP="00147A3E">
      <w:pPr>
        <w:pStyle w:val="ListParagraph"/>
        <w:numPr>
          <w:ilvl w:val="0"/>
          <w:numId w:val="0"/>
        </w:numPr>
        <w:spacing w:before="240"/>
        <w:ind w:left="720"/>
      </w:pPr>
    </w:p>
    <w:p w14:paraId="34BE0B13" w14:textId="70140F1A" w:rsidR="00CD56A7" w:rsidRDefault="00245064" w:rsidP="00535594">
      <w:r w:rsidRPr="00245064">
        <w:t>The initiative is spearheaded by an international group of experts</w:t>
      </w:r>
      <w:r w:rsidR="002278B3">
        <w:t>. This multidisciplinary group</w:t>
      </w:r>
      <w:r w:rsidR="003F449E">
        <w:t xml:space="preserve"> </w:t>
      </w:r>
      <w:r w:rsidR="006F6262">
        <w:t>includ</w:t>
      </w:r>
      <w:r w:rsidR="00372DE6">
        <w:t>es</w:t>
      </w:r>
      <w:r w:rsidR="00147A3E">
        <w:t xml:space="preserve"> clinicians, researchers, economists</w:t>
      </w:r>
      <w:r w:rsidR="003F449E">
        <w:t>, advocacy experts</w:t>
      </w:r>
      <w:r w:rsidR="00147A3E">
        <w:t xml:space="preserve"> and </w:t>
      </w:r>
      <w:r w:rsidR="003F449E">
        <w:t>an ethicist.</w:t>
      </w:r>
      <w:r w:rsidR="00372DE6">
        <w:t xml:space="preserve"> </w:t>
      </w:r>
      <w:r w:rsidR="00CD56A7">
        <w:t xml:space="preserve">To find out more about the work of the initiative please see the presentations from our inaugural </w:t>
      </w:r>
      <w:r w:rsidR="00CD56A7" w:rsidRPr="00CD56A7">
        <w:t xml:space="preserve">conference, </w:t>
      </w:r>
      <w:r w:rsidR="00CD56A7" w:rsidRPr="00CD56A7">
        <w:rPr>
          <w:i/>
          <w:iCs/>
        </w:rPr>
        <w:t>Think Brain Health – a policy, clinical and research challenge</w:t>
      </w:r>
      <w:r w:rsidR="00CD56A7">
        <w:t xml:space="preserve">, here: </w:t>
      </w:r>
      <w:hyperlink r:id="rId9" w:history="1">
        <w:r w:rsidR="00CD56A7" w:rsidRPr="006D2B7B">
          <w:rPr>
            <w:rStyle w:val="Hyperlink"/>
          </w:rPr>
          <w:t>www.thinkbrainhealth.org/events/</w:t>
        </w:r>
      </w:hyperlink>
      <w:r w:rsidR="00CD56A7">
        <w:t xml:space="preserve"> </w:t>
      </w:r>
    </w:p>
    <w:p w14:paraId="74C856ED" w14:textId="195A355E" w:rsidR="0065324C" w:rsidRDefault="00562664" w:rsidP="00535594">
      <w:r>
        <w:t>Seventeen</w:t>
      </w:r>
      <w:r w:rsidR="00245064">
        <w:t xml:space="preserve"> </w:t>
      </w:r>
      <w:r w:rsidR="00190E40">
        <w:t xml:space="preserve">prominent </w:t>
      </w:r>
      <w:r w:rsidR="00190E40" w:rsidRPr="00E662FD">
        <w:t>professional associations and advocacy groups across the world</w:t>
      </w:r>
      <w:r w:rsidR="00190E40">
        <w:t xml:space="preserve"> have already endorsed </w:t>
      </w:r>
      <w:r w:rsidR="00245064">
        <w:t>the report</w:t>
      </w:r>
      <w:r w:rsidR="00B619DC">
        <w:t xml:space="preserve"> </w:t>
      </w:r>
      <w:r w:rsidR="00190E40">
        <w:t>– they include</w:t>
      </w:r>
      <w:r w:rsidR="00147A3E">
        <w:t xml:space="preserve"> the European Brain Council, the European Association of Neuroscience Nurses and Alzheimer’s Research UK, amongst others</w:t>
      </w:r>
      <w:r w:rsidR="00245064">
        <w:t xml:space="preserve">. Leading </w:t>
      </w:r>
      <w:r w:rsidR="00160F44">
        <w:t xml:space="preserve">stakeholders </w:t>
      </w:r>
      <w:r w:rsidR="00D5778C">
        <w:t xml:space="preserve">and organizations </w:t>
      </w:r>
      <w:r w:rsidR="00245064">
        <w:t>working in neurodegenerative disease</w:t>
      </w:r>
      <w:r w:rsidR="002278B3">
        <w:t>s</w:t>
      </w:r>
      <w:r w:rsidR="00245064">
        <w:t xml:space="preserve"> </w:t>
      </w:r>
      <w:r w:rsidR="00ED5FAA">
        <w:t>are</w:t>
      </w:r>
      <w:r w:rsidR="00B619DC">
        <w:t xml:space="preserve"> now </w:t>
      </w:r>
      <w:r w:rsidR="00ED5FAA">
        <w:t xml:space="preserve">being invited to </w:t>
      </w:r>
      <w:r w:rsidR="00B619DC">
        <w:t xml:space="preserve">join this influential supporter base in </w:t>
      </w:r>
      <w:r w:rsidR="00372DE6">
        <w:t>en</w:t>
      </w:r>
      <w:r w:rsidR="00B619DC">
        <w:t>dorsing the recommendations made in the policy report</w:t>
      </w:r>
      <w:r w:rsidR="00B619DC" w:rsidRPr="00E662FD">
        <w:t xml:space="preserve">. </w:t>
      </w:r>
    </w:p>
    <w:p w14:paraId="0517D828" w14:textId="399719DF" w:rsidR="00B619DC" w:rsidRPr="00AE1456" w:rsidRDefault="00B926A3" w:rsidP="00535594">
      <w:pPr>
        <w:rPr>
          <w:b/>
          <w:bCs/>
          <w:sz w:val="24"/>
          <w:szCs w:val="28"/>
        </w:rPr>
      </w:pPr>
      <w:r w:rsidRPr="00AE1456">
        <w:rPr>
          <w:b/>
          <w:bCs/>
          <w:sz w:val="24"/>
          <w:szCs w:val="28"/>
          <w:u w:val="single"/>
        </w:rPr>
        <w:t xml:space="preserve">Report </w:t>
      </w:r>
      <w:r w:rsidR="00AF62C2" w:rsidRPr="00AE1456">
        <w:rPr>
          <w:b/>
          <w:bCs/>
          <w:sz w:val="24"/>
          <w:szCs w:val="28"/>
          <w:u w:val="single"/>
        </w:rPr>
        <w:t>objectives</w:t>
      </w:r>
      <w:r w:rsidR="002214B2" w:rsidRPr="00AE1456">
        <w:rPr>
          <w:b/>
          <w:bCs/>
          <w:sz w:val="24"/>
          <w:szCs w:val="28"/>
          <w:u w:val="single"/>
        </w:rPr>
        <w:t xml:space="preserve"> and themes</w:t>
      </w:r>
    </w:p>
    <w:p w14:paraId="5910DD6A" w14:textId="24CCC5AB" w:rsidR="00FC7CD1" w:rsidRDefault="00FC7CD1" w:rsidP="00D5778C">
      <w:pPr>
        <w:spacing w:before="240"/>
      </w:pPr>
      <w:r>
        <w:t>The process of neurodegeneration begins many years before symptoms appear, and it may take years for an at-risk individual to progress through the presymptomatic and prodromal disease phases until a clinical diagnosis can be made. There is a 10–20-year ‘window of opportunity’ in midlife to intervene in the disease course and to potentially reduce the risk of developing neurodegenerative disease and/or delay disease progression.</w:t>
      </w:r>
    </w:p>
    <w:p w14:paraId="2EE51E02" w14:textId="39C86D2B" w:rsidR="00D5778C" w:rsidRDefault="00D5778C" w:rsidP="00D5778C">
      <w:pPr>
        <w:spacing w:before="240"/>
      </w:pPr>
      <w:r>
        <w:t xml:space="preserve">The report summarizes the key risk factors for Alzheimer’s Disease (AD) and Parkinson’s Disease (PD), both modifiable and non-modifiable. It also discusses how implementing beneficial behaviours and </w:t>
      </w:r>
      <w:r>
        <w:lastRenderedPageBreak/>
        <w:t xml:space="preserve">potential lifestyle changes can improve brain health: </w:t>
      </w:r>
      <w:r>
        <w:rPr>
          <w:b/>
          <w:bCs/>
          <w:color w:val="7030A0"/>
        </w:rPr>
        <w:t>w</w:t>
      </w:r>
      <w:r w:rsidRPr="00D5778C">
        <w:rPr>
          <w:b/>
          <w:bCs/>
          <w:color w:val="7030A0"/>
        </w:rPr>
        <w:t>hat’s good for the heart is generally good for the brain</w:t>
      </w:r>
      <w:r w:rsidRPr="00D5778C">
        <w:rPr>
          <w:color w:val="7030A0"/>
        </w:rPr>
        <w:t xml:space="preserve"> </w:t>
      </w:r>
      <w:r>
        <w:t>is an important public health message.</w:t>
      </w:r>
    </w:p>
    <w:p w14:paraId="23F364D8" w14:textId="77777777" w:rsidR="00D5778C" w:rsidRDefault="00D5778C" w:rsidP="00D5778C">
      <w:pPr>
        <w:spacing w:before="240"/>
      </w:pPr>
      <w:r>
        <w:t xml:space="preserve">To prepare for future advances, the authors recommend some specific areas for research, including continuing the search for effective diagnostic tools, biomarkers, drug targets and treatments. The recommendations should help those tasked with organizing health services to decide how best to prepare for the advent of national programmes that facilitate earlier detection and intervention of neurodegenerative diseases such as AD and PD. </w:t>
      </w:r>
    </w:p>
    <w:p w14:paraId="54E41B96" w14:textId="6618CA61" w:rsidR="00135C55" w:rsidRPr="00AE1456" w:rsidRDefault="008E3E46" w:rsidP="0065324C">
      <w:pPr>
        <w:spacing w:before="240"/>
        <w:rPr>
          <w:b/>
          <w:bCs/>
          <w:sz w:val="24"/>
          <w:szCs w:val="28"/>
          <w:u w:val="single"/>
        </w:rPr>
      </w:pPr>
      <w:r w:rsidRPr="00AE1456">
        <w:rPr>
          <w:b/>
          <w:bCs/>
          <w:sz w:val="24"/>
          <w:szCs w:val="28"/>
          <w:u w:val="single"/>
        </w:rPr>
        <w:t>Reasons to endorse</w:t>
      </w:r>
    </w:p>
    <w:p w14:paraId="0913A400" w14:textId="77777777" w:rsidR="00D5778C" w:rsidRDefault="00D5778C" w:rsidP="00D5778C">
      <w:pPr>
        <w:spacing w:before="240"/>
      </w:pPr>
      <w:r w:rsidRPr="00D61229">
        <w:t>All interested stakeholders need to work together for the common goal of improved healthcare for neurodegenerative diseases. We can achieve more together than we can separately.</w:t>
      </w:r>
    </w:p>
    <w:p w14:paraId="3049619D" w14:textId="03677159" w:rsidR="00147A3E" w:rsidRDefault="00612C63" w:rsidP="0065324C">
      <w:pPr>
        <w:spacing w:before="240"/>
      </w:pPr>
      <w:r>
        <w:t xml:space="preserve">Endorsing this publication </w:t>
      </w:r>
      <w:r w:rsidR="00D61229">
        <w:t xml:space="preserve">provides </w:t>
      </w:r>
      <w:r w:rsidR="00962D9B">
        <w:t>an opportunity to demonstrate</w:t>
      </w:r>
      <w:r w:rsidR="00ED5FAA">
        <w:t xml:space="preserve"> publicly </w:t>
      </w:r>
      <w:r w:rsidR="00160F44">
        <w:t>the position of y</w:t>
      </w:r>
      <w:r w:rsidR="00ED5FAA">
        <w:t>our</w:t>
      </w:r>
      <w:r w:rsidR="00962D9B">
        <w:t xml:space="preserve"> </w:t>
      </w:r>
      <w:r w:rsidR="00D61229" w:rsidRPr="000669DC">
        <w:t>organization</w:t>
      </w:r>
      <w:r w:rsidR="00962D9B">
        <w:t xml:space="preserve"> as a leader in </w:t>
      </w:r>
      <w:r w:rsidR="00D61229">
        <w:t>preventive neurology</w:t>
      </w:r>
      <w:r w:rsidR="00962D9B">
        <w:t xml:space="preserve"> and</w:t>
      </w:r>
      <w:r w:rsidR="00160F44">
        <w:t xml:space="preserve"> to collaborate with</w:t>
      </w:r>
      <w:r w:rsidR="008F247B">
        <w:t xml:space="preserve"> </w:t>
      </w:r>
      <w:r w:rsidR="00962D9B">
        <w:t xml:space="preserve">a network of other leading </w:t>
      </w:r>
      <w:r w:rsidR="00D61229">
        <w:t>neurodegenerative disease</w:t>
      </w:r>
      <w:r w:rsidR="000669DC">
        <w:t xml:space="preserve"> stakeholders.</w:t>
      </w:r>
      <w:r w:rsidR="00962D9B">
        <w:t xml:space="preserve"> As an endorser</w:t>
      </w:r>
      <w:r w:rsidR="00840475">
        <w:t>,</w:t>
      </w:r>
      <w:r w:rsidR="00962D9B">
        <w:t xml:space="preserve"> </w:t>
      </w:r>
      <w:r w:rsidR="006D2162">
        <w:t>y</w:t>
      </w:r>
      <w:r w:rsidR="00E244D9">
        <w:t>our</w:t>
      </w:r>
      <w:r w:rsidR="00F2184C">
        <w:t xml:space="preserve"> </w:t>
      </w:r>
      <w:r w:rsidR="000629DB">
        <w:t xml:space="preserve">name and </w:t>
      </w:r>
      <w:r w:rsidR="00F2184C" w:rsidRPr="00E662FD">
        <w:t xml:space="preserve">logo </w:t>
      </w:r>
      <w:r w:rsidR="00840475">
        <w:t xml:space="preserve">will appear </w:t>
      </w:r>
      <w:r w:rsidR="000629DB">
        <w:t xml:space="preserve">in the report and </w:t>
      </w:r>
      <w:r w:rsidR="00F2184C" w:rsidRPr="00E662FD">
        <w:t xml:space="preserve">on </w:t>
      </w:r>
      <w:r w:rsidR="00ED5FAA">
        <w:t xml:space="preserve">the </w:t>
      </w:r>
      <w:r w:rsidR="00D61229" w:rsidRPr="00D61229">
        <w:rPr>
          <w:b/>
          <w:bCs/>
          <w:color w:val="7030A0"/>
        </w:rPr>
        <w:t>Think Brain Health</w:t>
      </w:r>
      <w:r w:rsidR="00372DE6">
        <w:rPr>
          <w:b/>
          <w:bCs/>
          <w:color w:val="7030A0"/>
        </w:rPr>
        <w:t xml:space="preserve"> Global</w:t>
      </w:r>
      <w:r w:rsidR="00D61229" w:rsidRPr="00D61229">
        <w:rPr>
          <w:b/>
          <w:bCs/>
          <w:color w:val="7030A0"/>
        </w:rPr>
        <w:t xml:space="preserve"> </w:t>
      </w:r>
      <w:hyperlink r:id="rId10" w:history="1">
        <w:r w:rsidR="00D61229" w:rsidRPr="00611838">
          <w:rPr>
            <w:rStyle w:val="Hyperlink"/>
          </w:rPr>
          <w:t>website</w:t>
        </w:r>
      </w:hyperlink>
      <w:r w:rsidR="000629DB">
        <w:t xml:space="preserve"> </w:t>
      </w:r>
      <w:r w:rsidR="002A684A">
        <w:t xml:space="preserve">and we will share this via our social media channels. Please follow our </w:t>
      </w:r>
      <w:hyperlink r:id="rId11" w:history="1">
        <w:r w:rsidR="002A684A" w:rsidRPr="002A684A">
          <w:rPr>
            <w:rStyle w:val="Hyperlink"/>
          </w:rPr>
          <w:t>Twitter</w:t>
        </w:r>
      </w:hyperlink>
      <w:r w:rsidR="002A684A">
        <w:t xml:space="preserve"> and </w:t>
      </w:r>
      <w:hyperlink r:id="rId12" w:history="1">
        <w:r w:rsidR="002A684A" w:rsidRPr="002A684A">
          <w:rPr>
            <w:rStyle w:val="Hyperlink"/>
          </w:rPr>
          <w:t>LinkedIn</w:t>
        </w:r>
      </w:hyperlink>
      <w:r w:rsidR="002A684A">
        <w:t xml:space="preserve"> pages to keep up to date. Y</w:t>
      </w:r>
      <w:r w:rsidR="000629DB">
        <w:t>our organization</w:t>
      </w:r>
      <w:r w:rsidR="00D61229">
        <w:t xml:space="preserve"> will be included </w:t>
      </w:r>
      <w:r w:rsidR="002049A1">
        <w:t>in</w:t>
      </w:r>
      <w:r w:rsidR="00D61229">
        <w:t xml:space="preserve"> regular </w:t>
      </w:r>
      <w:r w:rsidR="002049A1">
        <w:t>outreach updates</w:t>
      </w:r>
      <w:r w:rsidR="00D61229">
        <w:t xml:space="preserve"> and have first access to forthcoming resources to help drive the initiative. </w:t>
      </w:r>
    </w:p>
    <w:p w14:paraId="14ADE62C" w14:textId="55E4B615" w:rsidR="00057654" w:rsidRDefault="00147A3E" w:rsidP="0065324C">
      <w:pPr>
        <w:spacing w:before="240"/>
      </w:pPr>
      <w:r>
        <w:t>This initiative is</w:t>
      </w:r>
      <w:r w:rsidRPr="00245064">
        <w:t xml:space="preserve"> run by Oxford Health Policy Forum, a not-for-profit community interest company</w:t>
      </w:r>
      <w:r>
        <w:t>,</w:t>
      </w:r>
      <w:r w:rsidRPr="00245064">
        <w:t xml:space="preserve"> </w:t>
      </w:r>
      <w:r>
        <w:t>and preparation of the report was funded by educational grants from Biogen</w:t>
      </w:r>
      <w:r w:rsidR="00EA71B4">
        <w:t xml:space="preserve">, </w:t>
      </w:r>
      <w:r w:rsidR="00EA71B4" w:rsidRPr="00EA71B4">
        <w:t>UCB Biopharma SRL</w:t>
      </w:r>
      <w:r>
        <w:t xml:space="preserve"> and </w:t>
      </w:r>
      <w:r w:rsidR="00EA71B4">
        <w:br/>
      </w:r>
      <w:r>
        <w:t>F. Hoffmann-La Roche, who had no influence on the content.</w:t>
      </w:r>
    </w:p>
    <w:p w14:paraId="7A560F4A" w14:textId="18503A6B" w:rsidR="000666DD" w:rsidRDefault="000666DD" w:rsidP="00535594">
      <w:r w:rsidRPr="00E662FD">
        <w:t>Thank you for your</w:t>
      </w:r>
      <w:r w:rsidR="00147A3E">
        <w:t xml:space="preserve"> interest</w:t>
      </w:r>
      <w:r w:rsidRPr="00E662FD">
        <w:t>, and I look forward to your response.</w:t>
      </w:r>
    </w:p>
    <w:p w14:paraId="26BBCD3D" w14:textId="23D094D8" w:rsidR="00086BAB" w:rsidRDefault="00452B38" w:rsidP="00535594">
      <w:r>
        <w:rPr>
          <w:noProof/>
        </w:rPr>
        <w:drawing>
          <wp:inline distT="0" distB="0" distL="0" distR="0" wp14:anchorId="680D6BB4" wp14:editId="576C153A">
            <wp:extent cx="1471764" cy="5105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4725" cy="515036"/>
                    </a:xfrm>
                    <a:prstGeom prst="rect">
                      <a:avLst/>
                    </a:prstGeom>
                    <a:noFill/>
                    <a:ln>
                      <a:noFill/>
                    </a:ln>
                  </pic:spPr>
                </pic:pic>
              </a:graphicData>
            </a:graphic>
          </wp:inline>
        </w:drawing>
      </w:r>
    </w:p>
    <w:p w14:paraId="505EA14C" w14:textId="04CC9716" w:rsidR="00452B38" w:rsidRPr="00E662FD" w:rsidRDefault="00452B38" w:rsidP="00535594">
      <w:r>
        <w:t>Dr Alastair Noyce</w:t>
      </w:r>
    </w:p>
    <w:sectPr w:rsidR="00452B38" w:rsidRPr="00E662FD" w:rsidSect="00B04DFF">
      <w:type w:val="continuous"/>
      <w:pgSz w:w="12240" w:h="15840"/>
      <w:pgMar w:top="993"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33886"/>
    <w:multiLevelType w:val="hybridMultilevel"/>
    <w:tmpl w:val="5A2CE616"/>
    <w:lvl w:ilvl="0" w:tplc="832A8604">
      <w:start w:val="1"/>
      <w:numFmt w:val="bullet"/>
      <w:lvlText w:val="●"/>
      <w:lvlJc w:val="left"/>
      <w:pPr>
        <w:tabs>
          <w:tab w:val="num" w:pos="360"/>
        </w:tabs>
        <w:ind w:left="360" w:hanging="360"/>
      </w:pPr>
      <w:rPr>
        <w:rFonts w:ascii="Times New Roman" w:hAnsi="Times New Roman" w:hint="default"/>
      </w:rPr>
    </w:lvl>
    <w:lvl w:ilvl="1" w:tplc="AA8E8EB8" w:tentative="1">
      <w:start w:val="1"/>
      <w:numFmt w:val="bullet"/>
      <w:lvlText w:val="●"/>
      <w:lvlJc w:val="left"/>
      <w:pPr>
        <w:tabs>
          <w:tab w:val="num" w:pos="1080"/>
        </w:tabs>
        <w:ind w:left="1080" w:hanging="360"/>
      </w:pPr>
      <w:rPr>
        <w:rFonts w:ascii="Times New Roman" w:hAnsi="Times New Roman" w:hint="default"/>
      </w:rPr>
    </w:lvl>
    <w:lvl w:ilvl="2" w:tplc="BD10BDE2" w:tentative="1">
      <w:start w:val="1"/>
      <w:numFmt w:val="bullet"/>
      <w:lvlText w:val="●"/>
      <w:lvlJc w:val="left"/>
      <w:pPr>
        <w:tabs>
          <w:tab w:val="num" w:pos="1800"/>
        </w:tabs>
        <w:ind w:left="1800" w:hanging="360"/>
      </w:pPr>
      <w:rPr>
        <w:rFonts w:ascii="Times New Roman" w:hAnsi="Times New Roman" w:hint="default"/>
      </w:rPr>
    </w:lvl>
    <w:lvl w:ilvl="3" w:tplc="3FB2E1D4" w:tentative="1">
      <w:start w:val="1"/>
      <w:numFmt w:val="bullet"/>
      <w:lvlText w:val="●"/>
      <w:lvlJc w:val="left"/>
      <w:pPr>
        <w:tabs>
          <w:tab w:val="num" w:pos="2520"/>
        </w:tabs>
        <w:ind w:left="2520" w:hanging="360"/>
      </w:pPr>
      <w:rPr>
        <w:rFonts w:ascii="Times New Roman" w:hAnsi="Times New Roman" w:hint="default"/>
      </w:rPr>
    </w:lvl>
    <w:lvl w:ilvl="4" w:tplc="1C5E91C0" w:tentative="1">
      <w:start w:val="1"/>
      <w:numFmt w:val="bullet"/>
      <w:lvlText w:val="●"/>
      <w:lvlJc w:val="left"/>
      <w:pPr>
        <w:tabs>
          <w:tab w:val="num" w:pos="3240"/>
        </w:tabs>
        <w:ind w:left="3240" w:hanging="360"/>
      </w:pPr>
      <w:rPr>
        <w:rFonts w:ascii="Times New Roman" w:hAnsi="Times New Roman" w:hint="default"/>
      </w:rPr>
    </w:lvl>
    <w:lvl w:ilvl="5" w:tplc="177EBDAE" w:tentative="1">
      <w:start w:val="1"/>
      <w:numFmt w:val="bullet"/>
      <w:lvlText w:val="●"/>
      <w:lvlJc w:val="left"/>
      <w:pPr>
        <w:tabs>
          <w:tab w:val="num" w:pos="3960"/>
        </w:tabs>
        <w:ind w:left="3960" w:hanging="360"/>
      </w:pPr>
      <w:rPr>
        <w:rFonts w:ascii="Times New Roman" w:hAnsi="Times New Roman" w:hint="default"/>
      </w:rPr>
    </w:lvl>
    <w:lvl w:ilvl="6" w:tplc="661A6AFA" w:tentative="1">
      <w:start w:val="1"/>
      <w:numFmt w:val="bullet"/>
      <w:lvlText w:val="●"/>
      <w:lvlJc w:val="left"/>
      <w:pPr>
        <w:tabs>
          <w:tab w:val="num" w:pos="4680"/>
        </w:tabs>
        <w:ind w:left="4680" w:hanging="360"/>
      </w:pPr>
      <w:rPr>
        <w:rFonts w:ascii="Times New Roman" w:hAnsi="Times New Roman" w:hint="default"/>
      </w:rPr>
    </w:lvl>
    <w:lvl w:ilvl="7" w:tplc="7EA857CE" w:tentative="1">
      <w:start w:val="1"/>
      <w:numFmt w:val="bullet"/>
      <w:lvlText w:val="●"/>
      <w:lvlJc w:val="left"/>
      <w:pPr>
        <w:tabs>
          <w:tab w:val="num" w:pos="5400"/>
        </w:tabs>
        <w:ind w:left="5400" w:hanging="360"/>
      </w:pPr>
      <w:rPr>
        <w:rFonts w:ascii="Times New Roman" w:hAnsi="Times New Roman" w:hint="default"/>
      </w:rPr>
    </w:lvl>
    <w:lvl w:ilvl="8" w:tplc="E4145D48" w:tentative="1">
      <w:start w:val="1"/>
      <w:numFmt w:val="bullet"/>
      <w:lvlText w:val="●"/>
      <w:lvlJc w:val="left"/>
      <w:pPr>
        <w:tabs>
          <w:tab w:val="num" w:pos="6120"/>
        </w:tabs>
        <w:ind w:left="6120" w:hanging="360"/>
      </w:pPr>
      <w:rPr>
        <w:rFonts w:ascii="Times New Roman" w:hAnsi="Times New Roman" w:hint="default"/>
      </w:rPr>
    </w:lvl>
  </w:abstractNum>
  <w:abstractNum w:abstractNumId="1" w15:restartNumberingAfterBreak="0">
    <w:nsid w:val="2A814F3D"/>
    <w:multiLevelType w:val="hybridMultilevel"/>
    <w:tmpl w:val="163AF42C"/>
    <w:lvl w:ilvl="0" w:tplc="DB947574">
      <w:start w:val="1"/>
      <w:numFmt w:val="bullet"/>
      <w:lvlText w:val="■"/>
      <w:lvlJc w:val="left"/>
      <w:pPr>
        <w:ind w:left="1440" w:hanging="360"/>
      </w:pPr>
      <w:rPr>
        <w:rFonts w:ascii="Arial" w:hAnsi="Arial" w:hint="default"/>
        <w:color w:val="EB6724" w:themeColor="text2"/>
      </w:rPr>
    </w:lvl>
    <w:lvl w:ilvl="1" w:tplc="6270F20C">
      <w:start w:val="1"/>
      <w:numFmt w:val="bullet"/>
      <w:pStyle w:val="Level2bullet"/>
      <w:lvlText w:val="□"/>
      <w:lvlJc w:val="left"/>
      <w:pPr>
        <w:ind w:left="1213" w:hanging="362"/>
      </w:pPr>
      <w:rPr>
        <w:rFonts w:ascii="Arial" w:hAnsi="Arial" w:hint="default"/>
        <w:color w:val="EB6724" w:themeColor="text2"/>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87F3272"/>
    <w:multiLevelType w:val="hybridMultilevel"/>
    <w:tmpl w:val="AD4CD3CC"/>
    <w:lvl w:ilvl="0" w:tplc="DB947574">
      <w:start w:val="1"/>
      <w:numFmt w:val="bullet"/>
      <w:lvlText w:val="■"/>
      <w:lvlJc w:val="left"/>
      <w:pPr>
        <w:ind w:left="1440" w:hanging="360"/>
      </w:pPr>
      <w:rPr>
        <w:rFonts w:ascii="Arial" w:hAnsi="Arial" w:hint="default"/>
        <w:color w:val="EB6724" w:themeColor="text2"/>
      </w:rPr>
    </w:lvl>
    <w:lvl w:ilvl="1" w:tplc="DAD4AEEE">
      <w:start w:val="1"/>
      <w:numFmt w:val="bullet"/>
      <w:lvlText w:val="□"/>
      <w:lvlJc w:val="left"/>
      <w:pPr>
        <w:ind w:left="1134" w:hanging="283"/>
      </w:pPr>
      <w:rPr>
        <w:rFonts w:ascii="Arial" w:hAnsi="Arial" w:hint="default"/>
        <w:color w:val="EB6724" w:themeColor="text2"/>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ACA068B"/>
    <w:multiLevelType w:val="hybridMultilevel"/>
    <w:tmpl w:val="83781BBC"/>
    <w:lvl w:ilvl="0" w:tplc="DB947574">
      <w:start w:val="1"/>
      <w:numFmt w:val="bullet"/>
      <w:pStyle w:val="ListParagraph"/>
      <w:lvlText w:val="■"/>
      <w:lvlJc w:val="left"/>
      <w:pPr>
        <w:ind w:left="1440" w:hanging="360"/>
      </w:pPr>
      <w:rPr>
        <w:rFonts w:ascii="Arial" w:hAnsi="Arial" w:hint="default"/>
        <w:color w:val="EB6724" w:themeColor="text2"/>
      </w:rPr>
    </w:lvl>
    <w:lvl w:ilvl="1" w:tplc="26560B82">
      <w:start w:val="1"/>
      <w:numFmt w:val="bullet"/>
      <w:lvlText w:val="□"/>
      <w:lvlJc w:val="left"/>
      <w:pPr>
        <w:ind w:left="2160" w:hanging="360"/>
      </w:pPr>
      <w:rPr>
        <w:rFonts w:ascii="Arial" w:hAnsi="Arial" w:hint="default"/>
        <w:color w:val="EB6724" w:themeColor="text2"/>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38754F9"/>
    <w:multiLevelType w:val="hybridMultilevel"/>
    <w:tmpl w:val="CF28AA62"/>
    <w:lvl w:ilvl="0" w:tplc="AD0E621C">
      <w:numFmt w:val="bullet"/>
      <w:lvlText w:val="•"/>
      <w:lvlJc w:val="left"/>
      <w:pPr>
        <w:ind w:left="1080" w:hanging="720"/>
      </w:pPr>
      <w:rPr>
        <w:rFonts w:ascii="Arial" w:eastAsia="Times New Roman" w:hAnsi="Arial" w:cs="Arial" w:hint="default"/>
      </w:rPr>
    </w:lvl>
    <w:lvl w:ilvl="1" w:tplc="050A98B2">
      <w:numFmt w:val="bullet"/>
      <w:lvlText w:val=""/>
      <w:lvlJc w:val="left"/>
      <w:pPr>
        <w:ind w:left="1800" w:hanging="720"/>
      </w:pPr>
      <w:rPr>
        <w:rFonts w:ascii="Symbol" w:eastAsia="Times New Roman"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0D623F"/>
    <w:multiLevelType w:val="hybridMultilevel"/>
    <w:tmpl w:val="894E20F4"/>
    <w:lvl w:ilvl="0" w:tplc="2FE0FD50">
      <w:start w:val="1"/>
      <w:numFmt w:val="bullet"/>
      <w:lvlText w:val="■"/>
      <w:lvlJc w:val="left"/>
      <w:pPr>
        <w:ind w:left="1440" w:hanging="360"/>
      </w:pPr>
      <w:rPr>
        <w:rFonts w:ascii="Arial" w:hAnsi="Arial" w:hint="default"/>
        <w:color w:val="EB6724" w:themeColor="text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53840BA"/>
    <w:multiLevelType w:val="hybridMultilevel"/>
    <w:tmpl w:val="A6CA03A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BC2B80"/>
    <w:multiLevelType w:val="hybridMultilevel"/>
    <w:tmpl w:val="DFCC5038"/>
    <w:lvl w:ilvl="0" w:tplc="DB947574">
      <w:start w:val="1"/>
      <w:numFmt w:val="bullet"/>
      <w:lvlText w:val="■"/>
      <w:lvlJc w:val="left"/>
      <w:pPr>
        <w:ind w:left="1440" w:hanging="360"/>
      </w:pPr>
      <w:rPr>
        <w:rFonts w:ascii="Arial" w:hAnsi="Arial" w:hint="default"/>
        <w:color w:val="EB6724" w:themeColor="text2"/>
      </w:rPr>
    </w:lvl>
    <w:lvl w:ilvl="1" w:tplc="9EE2BA0A">
      <w:start w:val="1"/>
      <w:numFmt w:val="bullet"/>
      <w:lvlText w:val="□"/>
      <w:lvlJc w:val="left"/>
      <w:pPr>
        <w:ind w:left="1247" w:hanging="396"/>
      </w:pPr>
      <w:rPr>
        <w:rFonts w:ascii="Arial" w:hAnsi="Arial" w:hint="default"/>
        <w:color w:val="EB6724" w:themeColor="text2"/>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4154C8F"/>
    <w:multiLevelType w:val="hybridMultilevel"/>
    <w:tmpl w:val="912023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44A382D"/>
    <w:multiLevelType w:val="hybridMultilevel"/>
    <w:tmpl w:val="99168E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8C65292"/>
    <w:multiLevelType w:val="hybridMultilevel"/>
    <w:tmpl w:val="97EE2982"/>
    <w:lvl w:ilvl="0" w:tplc="DB947574">
      <w:start w:val="1"/>
      <w:numFmt w:val="bullet"/>
      <w:lvlText w:val="■"/>
      <w:lvlJc w:val="left"/>
      <w:pPr>
        <w:ind w:left="1440" w:hanging="360"/>
      </w:pPr>
      <w:rPr>
        <w:rFonts w:ascii="Arial" w:hAnsi="Arial" w:hint="default"/>
        <w:color w:val="EB6724" w:themeColor="text2"/>
      </w:rPr>
    </w:lvl>
    <w:lvl w:ilvl="1" w:tplc="05C0E8C8">
      <w:start w:val="1"/>
      <w:numFmt w:val="bullet"/>
      <w:lvlText w:val="□"/>
      <w:lvlJc w:val="left"/>
      <w:pPr>
        <w:ind w:left="1134" w:firstLine="666"/>
      </w:pPr>
      <w:rPr>
        <w:rFonts w:ascii="Arial" w:hAnsi="Arial" w:hint="default"/>
        <w:color w:val="EB6724" w:themeColor="text2"/>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3222876"/>
    <w:multiLevelType w:val="hybridMultilevel"/>
    <w:tmpl w:val="D152E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C12571"/>
    <w:multiLevelType w:val="hybridMultilevel"/>
    <w:tmpl w:val="3CFE4C70"/>
    <w:lvl w:ilvl="0" w:tplc="D4EACE24">
      <w:start w:val="1"/>
      <w:numFmt w:val="decimal"/>
      <w:lvlText w:val="%1."/>
      <w:lvlJc w:val="left"/>
      <w:pPr>
        <w:ind w:left="720" w:hanging="360"/>
      </w:pPr>
      <w:rPr>
        <w:rFonts w:hint="default"/>
        <w:b/>
        <w:bCs/>
        <w:color w:val="7030A0"/>
      </w:rPr>
    </w:lvl>
    <w:lvl w:ilvl="1" w:tplc="26560B82">
      <w:start w:val="1"/>
      <w:numFmt w:val="bullet"/>
      <w:lvlText w:val="□"/>
      <w:lvlJc w:val="left"/>
      <w:pPr>
        <w:ind w:left="1440" w:hanging="360"/>
      </w:pPr>
      <w:rPr>
        <w:rFonts w:ascii="Arial" w:hAnsi="Arial" w:hint="default"/>
        <w:color w:val="EB6724" w:themeColor="text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0"/>
  </w:num>
  <w:num w:numId="4">
    <w:abstractNumId w:val="8"/>
  </w:num>
  <w:num w:numId="5">
    <w:abstractNumId w:val="11"/>
  </w:num>
  <w:num w:numId="6">
    <w:abstractNumId w:val="4"/>
  </w:num>
  <w:num w:numId="7">
    <w:abstractNumId w:val="9"/>
  </w:num>
  <w:num w:numId="8">
    <w:abstractNumId w:val="5"/>
  </w:num>
  <w:num w:numId="9">
    <w:abstractNumId w:val="3"/>
  </w:num>
  <w:num w:numId="10">
    <w:abstractNumId w:val="10"/>
  </w:num>
  <w:num w:numId="11">
    <w:abstractNumId w:val="2"/>
  </w:num>
  <w:num w:numId="12">
    <w:abstractNumId w:val="7"/>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6D6"/>
    <w:rsid w:val="00004811"/>
    <w:rsid w:val="00011DB4"/>
    <w:rsid w:val="0001469A"/>
    <w:rsid w:val="00022FA8"/>
    <w:rsid w:val="0003600B"/>
    <w:rsid w:val="000436C5"/>
    <w:rsid w:val="00045498"/>
    <w:rsid w:val="00054734"/>
    <w:rsid w:val="00056751"/>
    <w:rsid w:val="00057654"/>
    <w:rsid w:val="000629DB"/>
    <w:rsid w:val="00063C49"/>
    <w:rsid w:val="000666DD"/>
    <w:rsid w:val="000669DC"/>
    <w:rsid w:val="00077F0C"/>
    <w:rsid w:val="000862D9"/>
    <w:rsid w:val="00086BAB"/>
    <w:rsid w:val="000A0EFE"/>
    <w:rsid w:val="000A7009"/>
    <w:rsid w:val="000C4CC8"/>
    <w:rsid w:val="000D19B6"/>
    <w:rsid w:val="000D2AB1"/>
    <w:rsid w:val="000F2B6E"/>
    <w:rsid w:val="001003AC"/>
    <w:rsid w:val="00114593"/>
    <w:rsid w:val="00120117"/>
    <w:rsid w:val="00122ABD"/>
    <w:rsid w:val="00135C55"/>
    <w:rsid w:val="00140AF1"/>
    <w:rsid w:val="00147A3E"/>
    <w:rsid w:val="00154EBB"/>
    <w:rsid w:val="001562CF"/>
    <w:rsid w:val="00160F44"/>
    <w:rsid w:val="00170C04"/>
    <w:rsid w:val="00176CF1"/>
    <w:rsid w:val="00190E40"/>
    <w:rsid w:val="00193347"/>
    <w:rsid w:val="001B00BF"/>
    <w:rsid w:val="001B3076"/>
    <w:rsid w:val="001B315B"/>
    <w:rsid w:val="001C4F75"/>
    <w:rsid w:val="001C76C1"/>
    <w:rsid w:val="001D3B6E"/>
    <w:rsid w:val="001E54B4"/>
    <w:rsid w:val="001E577B"/>
    <w:rsid w:val="001F429B"/>
    <w:rsid w:val="001F6B51"/>
    <w:rsid w:val="001F7A68"/>
    <w:rsid w:val="00202DA3"/>
    <w:rsid w:val="00203F4E"/>
    <w:rsid w:val="002049A1"/>
    <w:rsid w:val="0020509D"/>
    <w:rsid w:val="00206DC6"/>
    <w:rsid w:val="00213138"/>
    <w:rsid w:val="002214B2"/>
    <w:rsid w:val="002278B3"/>
    <w:rsid w:val="002303A4"/>
    <w:rsid w:val="002406BD"/>
    <w:rsid w:val="002410B5"/>
    <w:rsid w:val="00241AA8"/>
    <w:rsid w:val="00245064"/>
    <w:rsid w:val="002515E5"/>
    <w:rsid w:val="00261C9E"/>
    <w:rsid w:val="00270E84"/>
    <w:rsid w:val="00272B15"/>
    <w:rsid w:val="002816EB"/>
    <w:rsid w:val="0028262D"/>
    <w:rsid w:val="0028369C"/>
    <w:rsid w:val="00283B23"/>
    <w:rsid w:val="0029167B"/>
    <w:rsid w:val="002A2722"/>
    <w:rsid w:val="002A684A"/>
    <w:rsid w:val="002B1F00"/>
    <w:rsid w:val="002B4110"/>
    <w:rsid w:val="002C7C1B"/>
    <w:rsid w:val="002C7DAC"/>
    <w:rsid w:val="002D77F8"/>
    <w:rsid w:val="002F14AB"/>
    <w:rsid w:val="002F77E8"/>
    <w:rsid w:val="00307B8B"/>
    <w:rsid w:val="0031176E"/>
    <w:rsid w:val="003168D2"/>
    <w:rsid w:val="00320ED9"/>
    <w:rsid w:val="00327691"/>
    <w:rsid w:val="00336874"/>
    <w:rsid w:val="00337AE1"/>
    <w:rsid w:val="00352557"/>
    <w:rsid w:val="00357BD7"/>
    <w:rsid w:val="00361C76"/>
    <w:rsid w:val="00372DE6"/>
    <w:rsid w:val="003D26B8"/>
    <w:rsid w:val="003D7EB4"/>
    <w:rsid w:val="003F449E"/>
    <w:rsid w:val="004028AA"/>
    <w:rsid w:val="0040393E"/>
    <w:rsid w:val="004067EF"/>
    <w:rsid w:val="00411EFD"/>
    <w:rsid w:val="00414F49"/>
    <w:rsid w:val="00421AD0"/>
    <w:rsid w:val="00431737"/>
    <w:rsid w:val="0044145E"/>
    <w:rsid w:val="00452B38"/>
    <w:rsid w:val="004533EC"/>
    <w:rsid w:val="00456B96"/>
    <w:rsid w:val="0045790F"/>
    <w:rsid w:val="0046065B"/>
    <w:rsid w:val="0048195B"/>
    <w:rsid w:val="0049504C"/>
    <w:rsid w:val="004B2A84"/>
    <w:rsid w:val="004B2F20"/>
    <w:rsid w:val="004B7BD7"/>
    <w:rsid w:val="004D477F"/>
    <w:rsid w:val="004D7870"/>
    <w:rsid w:val="004F01D5"/>
    <w:rsid w:val="004F3977"/>
    <w:rsid w:val="004F437B"/>
    <w:rsid w:val="00507A29"/>
    <w:rsid w:val="00516156"/>
    <w:rsid w:val="005259DC"/>
    <w:rsid w:val="00535594"/>
    <w:rsid w:val="0053564F"/>
    <w:rsid w:val="00562664"/>
    <w:rsid w:val="005638AA"/>
    <w:rsid w:val="00574750"/>
    <w:rsid w:val="00574F05"/>
    <w:rsid w:val="005804E8"/>
    <w:rsid w:val="005910C1"/>
    <w:rsid w:val="00592CC3"/>
    <w:rsid w:val="005B18EA"/>
    <w:rsid w:val="005B1A6C"/>
    <w:rsid w:val="005B4F79"/>
    <w:rsid w:val="005F63A5"/>
    <w:rsid w:val="006036E5"/>
    <w:rsid w:val="0061076B"/>
    <w:rsid w:val="00611838"/>
    <w:rsid w:val="00612C63"/>
    <w:rsid w:val="00624956"/>
    <w:rsid w:val="00626EFA"/>
    <w:rsid w:val="00627BE1"/>
    <w:rsid w:val="00627F27"/>
    <w:rsid w:val="00640B60"/>
    <w:rsid w:val="006447B7"/>
    <w:rsid w:val="00651473"/>
    <w:rsid w:val="0065324C"/>
    <w:rsid w:val="00662FC2"/>
    <w:rsid w:val="00665048"/>
    <w:rsid w:val="006851A3"/>
    <w:rsid w:val="00695CE5"/>
    <w:rsid w:val="006A747B"/>
    <w:rsid w:val="006A772E"/>
    <w:rsid w:val="006B2E4B"/>
    <w:rsid w:val="006B3C6C"/>
    <w:rsid w:val="006B714A"/>
    <w:rsid w:val="006C4FB3"/>
    <w:rsid w:val="006C5E1E"/>
    <w:rsid w:val="006C6231"/>
    <w:rsid w:val="006D2162"/>
    <w:rsid w:val="006D2B5E"/>
    <w:rsid w:val="006D5954"/>
    <w:rsid w:val="006F0030"/>
    <w:rsid w:val="006F6262"/>
    <w:rsid w:val="00703FB4"/>
    <w:rsid w:val="00711AC6"/>
    <w:rsid w:val="00714F06"/>
    <w:rsid w:val="007203F8"/>
    <w:rsid w:val="007243B3"/>
    <w:rsid w:val="00727312"/>
    <w:rsid w:val="00735E29"/>
    <w:rsid w:val="00741D5E"/>
    <w:rsid w:val="00751B66"/>
    <w:rsid w:val="007550AF"/>
    <w:rsid w:val="007667ED"/>
    <w:rsid w:val="0077508C"/>
    <w:rsid w:val="007870AB"/>
    <w:rsid w:val="00791AC4"/>
    <w:rsid w:val="007A3370"/>
    <w:rsid w:val="007B52EF"/>
    <w:rsid w:val="007C2A97"/>
    <w:rsid w:val="007C4F1A"/>
    <w:rsid w:val="007D20E5"/>
    <w:rsid w:val="007D2B68"/>
    <w:rsid w:val="007E31FC"/>
    <w:rsid w:val="007E7DFC"/>
    <w:rsid w:val="007F6E8B"/>
    <w:rsid w:val="00803FFD"/>
    <w:rsid w:val="00804861"/>
    <w:rsid w:val="00806276"/>
    <w:rsid w:val="00814572"/>
    <w:rsid w:val="00816417"/>
    <w:rsid w:val="008327C8"/>
    <w:rsid w:val="008347D6"/>
    <w:rsid w:val="00840475"/>
    <w:rsid w:val="00844020"/>
    <w:rsid w:val="0089222C"/>
    <w:rsid w:val="008A679C"/>
    <w:rsid w:val="008C3DD9"/>
    <w:rsid w:val="008C6208"/>
    <w:rsid w:val="008D09CD"/>
    <w:rsid w:val="008E3E46"/>
    <w:rsid w:val="008F247B"/>
    <w:rsid w:val="008F2F27"/>
    <w:rsid w:val="008F42D2"/>
    <w:rsid w:val="00902B77"/>
    <w:rsid w:val="009057CE"/>
    <w:rsid w:val="00905922"/>
    <w:rsid w:val="00937604"/>
    <w:rsid w:val="00940FEE"/>
    <w:rsid w:val="00947A8D"/>
    <w:rsid w:val="00962116"/>
    <w:rsid w:val="00962D9B"/>
    <w:rsid w:val="009942E1"/>
    <w:rsid w:val="009B2FDF"/>
    <w:rsid w:val="009B5E57"/>
    <w:rsid w:val="009B6A30"/>
    <w:rsid w:val="009B72B9"/>
    <w:rsid w:val="009C3587"/>
    <w:rsid w:val="009D5A38"/>
    <w:rsid w:val="009E2ECF"/>
    <w:rsid w:val="009F118A"/>
    <w:rsid w:val="009F4068"/>
    <w:rsid w:val="00A0161C"/>
    <w:rsid w:val="00A10D0D"/>
    <w:rsid w:val="00A138AD"/>
    <w:rsid w:val="00A25E72"/>
    <w:rsid w:val="00A2618B"/>
    <w:rsid w:val="00A31D94"/>
    <w:rsid w:val="00A323D8"/>
    <w:rsid w:val="00A374E4"/>
    <w:rsid w:val="00A4224E"/>
    <w:rsid w:val="00A452EE"/>
    <w:rsid w:val="00A51ADC"/>
    <w:rsid w:val="00A616B5"/>
    <w:rsid w:val="00A63ECB"/>
    <w:rsid w:val="00A8486F"/>
    <w:rsid w:val="00A87183"/>
    <w:rsid w:val="00A9016A"/>
    <w:rsid w:val="00A93D8B"/>
    <w:rsid w:val="00AA74EF"/>
    <w:rsid w:val="00AA7A01"/>
    <w:rsid w:val="00AB4B4A"/>
    <w:rsid w:val="00AC3F6E"/>
    <w:rsid w:val="00AC67CE"/>
    <w:rsid w:val="00AC72C9"/>
    <w:rsid w:val="00AE1456"/>
    <w:rsid w:val="00AE2CAB"/>
    <w:rsid w:val="00AF0A79"/>
    <w:rsid w:val="00AF2419"/>
    <w:rsid w:val="00AF245E"/>
    <w:rsid w:val="00AF62C2"/>
    <w:rsid w:val="00B01FDA"/>
    <w:rsid w:val="00B0297B"/>
    <w:rsid w:val="00B04DFF"/>
    <w:rsid w:val="00B069DF"/>
    <w:rsid w:val="00B10061"/>
    <w:rsid w:val="00B15C0D"/>
    <w:rsid w:val="00B42ACD"/>
    <w:rsid w:val="00B4332E"/>
    <w:rsid w:val="00B619DC"/>
    <w:rsid w:val="00B72421"/>
    <w:rsid w:val="00B75825"/>
    <w:rsid w:val="00B923D1"/>
    <w:rsid w:val="00B9258A"/>
    <w:rsid w:val="00B926A3"/>
    <w:rsid w:val="00B9350F"/>
    <w:rsid w:val="00BA29BB"/>
    <w:rsid w:val="00BA2A94"/>
    <w:rsid w:val="00BB6385"/>
    <w:rsid w:val="00BB79B8"/>
    <w:rsid w:val="00BD6017"/>
    <w:rsid w:val="00BF2303"/>
    <w:rsid w:val="00C0344E"/>
    <w:rsid w:val="00C04200"/>
    <w:rsid w:val="00C26DF4"/>
    <w:rsid w:val="00C322B2"/>
    <w:rsid w:val="00C334B7"/>
    <w:rsid w:val="00C3357A"/>
    <w:rsid w:val="00C64283"/>
    <w:rsid w:val="00C83972"/>
    <w:rsid w:val="00C87948"/>
    <w:rsid w:val="00C96D27"/>
    <w:rsid w:val="00CB3CE4"/>
    <w:rsid w:val="00CC7BEC"/>
    <w:rsid w:val="00CD16D6"/>
    <w:rsid w:val="00CD3B08"/>
    <w:rsid w:val="00CD56A7"/>
    <w:rsid w:val="00CD70F3"/>
    <w:rsid w:val="00CE1DF5"/>
    <w:rsid w:val="00CE20C7"/>
    <w:rsid w:val="00CE4763"/>
    <w:rsid w:val="00CE6B10"/>
    <w:rsid w:val="00D00BE9"/>
    <w:rsid w:val="00D05DCA"/>
    <w:rsid w:val="00D11FAD"/>
    <w:rsid w:val="00D32D61"/>
    <w:rsid w:val="00D41289"/>
    <w:rsid w:val="00D42755"/>
    <w:rsid w:val="00D52298"/>
    <w:rsid w:val="00D5778C"/>
    <w:rsid w:val="00D61229"/>
    <w:rsid w:val="00D635D1"/>
    <w:rsid w:val="00D64F88"/>
    <w:rsid w:val="00D9084E"/>
    <w:rsid w:val="00D91BF6"/>
    <w:rsid w:val="00D92C3F"/>
    <w:rsid w:val="00DA27FF"/>
    <w:rsid w:val="00DB2663"/>
    <w:rsid w:val="00DB293A"/>
    <w:rsid w:val="00DC12CE"/>
    <w:rsid w:val="00DC255A"/>
    <w:rsid w:val="00DC4454"/>
    <w:rsid w:val="00DD304C"/>
    <w:rsid w:val="00DD69D3"/>
    <w:rsid w:val="00DD6A3F"/>
    <w:rsid w:val="00DE2A08"/>
    <w:rsid w:val="00DE68EC"/>
    <w:rsid w:val="00DE75D6"/>
    <w:rsid w:val="00DF3F40"/>
    <w:rsid w:val="00DF588D"/>
    <w:rsid w:val="00DF5C0F"/>
    <w:rsid w:val="00DF6533"/>
    <w:rsid w:val="00E0131F"/>
    <w:rsid w:val="00E02A2D"/>
    <w:rsid w:val="00E17008"/>
    <w:rsid w:val="00E17C87"/>
    <w:rsid w:val="00E244D9"/>
    <w:rsid w:val="00E30675"/>
    <w:rsid w:val="00E32650"/>
    <w:rsid w:val="00E46BCD"/>
    <w:rsid w:val="00E60CDC"/>
    <w:rsid w:val="00E618C3"/>
    <w:rsid w:val="00E63671"/>
    <w:rsid w:val="00E662FD"/>
    <w:rsid w:val="00E8239A"/>
    <w:rsid w:val="00E84B91"/>
    <w:rsid w:val="00EA4C20"/>
    <w:rsid w:val="00EA64F2"/>
    <w:rsid w:val="00EA71B4"/>
    <w:rsid w:val="00EB344D"/>
    <w:rsid w:val="00EB7D7B"/>
    <w:rsid w:val="00ED5FAA"/>
    <w:rsid w:val="00EE12CF"/>
    <w:rsid w:val="00EF780C"/>
    <w:rsid w:val="00F038C4"/>
    <w:rsid w:val="00F059E6"/>
    <w:rsid w:val="00F1215D"/>
    <w:rsid w:val="00F12272"/>
    <w:rsid w:val="00F20343"/>
    <w:rsid w:val="00F20D40"/>
    <w:rsid w:val="00F2184C"/>
    <w:rsid w:val="00F364CC"/>
    <w:rsid w:val="00F453C5"/>
    <w:rsid w:val="00F50439"/>
    <w:rsid w:val="00F53E77"/>
    <w:rsid w:val="00F6171A"/>
    <w:rsid w:val="00F63971"/>
    <w:rsid w:val="00F80B8E"/>
    <w:rsid w:val="00F80F7A"/>
    <w:rsid w:val="00F82056"/>
    <w:rsid w:val="00F85CDE"/>
    <w:rsid w:val="00F875EE"/>
    <w:rsid w:val="00F97273"/>
    <w:rsid w:val="00FA121E"/>
    <w:rsid w:val="00FA28B6"/>
    <w:rsid w:val="00FA4030"/>
    <w:rsid w:val="00FA6E1B"/>
    <w:rsid w:val="00FB5C3C"/>
    <w:rsid w:val="00FC07DB"/>
    <w:rsid w:val="00FC7CD1"/>
    <w:rsid w:val="00FE05C2"/>
    <w:rsid w:val="00FE6A63"/>
    <w:rsid w:val="00FF26FB"/>
    <w:rsid w:val="00FF4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00E7CE"/>
  <w15:docId w15:val="{9872728E-F3BC-4AB5-82CC-CA66AF598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594"/>
    <w:pPr>
      <w:spacing w:after="200" w:line="264" w:lineRule="auto"/>
    </w:pPr>
    <w:rPr>
      <w:rFonts w:asciiTheme="minorHAnsi" w:eastAsia="Times New Roman" w:hAnsiTheme="minorHAnsi"/>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D16D6"/>
    <w:rPr>
      <w:rFonts w:cs="Times New Roman"/>
      <w:color w:val="0000FF"/>
      <w:u w:val="single"/>
    </w:rPr>
  </w:style>
  <w:style w:type="paragraph" w:customStyle="1" w:styleId="Default">
    <w:name w:val="Default"/>
    <w:uiPriority w:val="99"/>
    <w:rsid w:val="00CD16D6"/>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34"/>
    <w:qFormat/>
    <w:rsid w:val="00F453C5"/>
    <w:pPr>
      <w:numPr>
        <w:numId w:val="9"/>
      </w:numPr>
      <w:spacing w:after="80"/>
      <w:ind w:left="714" w:hanging="357"/>
      <w:contextualSpacing/>
    </w:pPr>
  </w:style>
  <w:style w:type="character" w:styleId="CommentReference">
    <w:name w:val="annotation reference"/>
    <w:basedOn w:val="DefaultParagraphFont"/>
    <w:uiPriority w:val="99"/>
    <w:semiHidden/>
    <w:rsid w:val="00FE05C2"/>
    <w:rPr>
      <w:rFonts w:cs="Times New Roman"/>
      <w:sz w:val="16"/>
    </w:rPr>
  </w:style>
  <w:style w:type="paragraph" w:styleId="CommentText">
    <w:name w:val="annotation text"/>
    <w:basedOn w:val="Normal"/>
    <w:link w:val="CommentTextChar"/>
    <w:uiPriority w:val="99"/>
    <w:semiHidden/>
    <w:rsid w:val="00FE05C2"/>
    <w:rPr>
      <w:rFonts w:eastAsia="Calibri"/>
      <w:sz w:val="20"/>
      <w:szCs w:val="20"/>
      <w:lang w:eastAsia="ja-JP"/>
    </w:rPr>
  </w:style>
  <w:style w:type="character" w:customStyle="1" w:styleId="CommentTextChar">
    <w:name w:val="Comment Text Char"/>
    <w:basedOn w:val="DefaultParagraphFont"/>
    <w:link w:val="CommentText"/>
    <w:uiPriority w:val="99"/>
    <w:semiHidden/>
    <w:locked/>
    <w:rsid w:val="00FE05C2"/>
    <w:rPr>
      <w:rFonts w:ascii="Times New Roman" w:hAnsi="Times New Roman"/>
      <w:sz w:val="20"/>
      <w:lang w:val="en-GB"/>
    </w:rPr>
  </w:style>
  <w:style w:type="paragraph" w:styleId="CommentSubject">
    <w:name w:val="annotation subject"/>
    <w:basedOn w:val="CommentText"/>
    <w:next w:val="CommentText"/>
    <w:link w:val="CommentSubjectChar"/>
    <w:uiPriority w:val="99"/>
    <w:semiHidden/>
    <w:rsid w:val="00FE05C2"/>
    <w:rPr>
      <w:b/>
      <w:bCs/>
    </w:rPr>
  </w:style>
  <w:style w:type="character" w:customStyle="1" w:styleId="CommentSubjectChar">
    <w:name w:val="Comment Subject Char"/>
    <w:basedOn w:val="CommentTextChar"/>
    <w:link w:val="CommentSubject"/>
    <w:uiPriority w:val="99"/>
    <w:semiHidden/>
    <w:locked/>
    <w:rsid w:val="00FE05C2"/>
    <w:rPr>
      <w:rFonts w:ascii="Times New Roman" w:hAnsi="Times New Roman"/>
      <w:b/>
      <w:sz w:val="20"/>
      <w:lang w:val="en-GB"/>
    </w:rPr>
  </w:style>
  <w:style w:type="paragraph" w:styleId="BalloonText">
    <w:name w:val="Balloon Text"/>
    <w:basedOn w:val="Normal"/>
    <w:link w:val="BalloonTextChar"/>
    <w:uiPriority w:val="99"/>
    <w:semiHidden/>
    <w:rsid w:val="00FE05C2"/>
    <w:rPr>
      <w:rFonts w:ascii="Tahoma" w:eastAsia="Calibri" w:hAnsi="Tahoma"/>
      <w:sz w:val="16"/>
      <w:szCs w:val="16"/>
      <w:lang w:eastAsia="ja-JP"/>
    </w:rPr>
  </w:style>
  <w:style w:type="character" w:customStyle="1" w:styleId="BalloonTextChar">
    <w:name w:val="Balloon Text Char"/>
    <w:basedOn w:val="DefaultParagraphFont"/>
    <w:link w:val="BalloonText"/>
    <w:uiPriority w:val="99"/>
    <w:semiHidden/>
    <w:locked/>
    <w:rsid w:val="00FE05C2"/>
    <w:rPr>
      <w:rFonts w:ascii="Tahoma" w:hAnsi="Tahoma"/>
      <w:sz w:val="16"/>
      <w:lang w:val="en-GB"/>
    </w:rPr>
  </w:style>
  <w:style w:type="character" w:customStyle="1" w:styleId="st1">
    <w:name w:val="st1"/>
    <w:uiPriority w:val="99"/>
    <w:rsid w:val="00A323D8"/>
  </w:style>
  <w:style w:type="character" w:styleId="Strong">
    <w:name w:val="Strong"/>
    <w:basedOn w:val="DefaultParagraphFont"/>
    <w:uiPriority w:val="99"/>
    <w:qFormat/>
    <w:locked/>
    <w:rsid w:val="00E60CDC"/>
    <w:rPr>
      <w:rFonts w:cs="Times New Roman"/>
      <w:b/>
    </w:rPr>
  </w:style>
  <w:style w:type="character" w:customStyle="1" w:styleId="googqs-tidbit">
    <w:name w:val="goog_qs-tidbit"/>
    <w:uiPriority w:val="99"/>
    <w:rsid w:val="00E60CDC"/>
  </w:style>
  <w:style w:type="character" w:styleId="FollowedHyperlink">
    <w:name w:val="FollowedHyperlink"/>
    <w:basedOn w:val="DefaultParagraphFont"/>
    <w:uiPriority w:val="99"/>
    <w:semiHidden/>
    <w:rsid w:val="007D20E5"/>
    <w:rPr>
      <w:rFonts w:cs="Times New Roman"/>
      <w:color w:val="800080"/>
      <w:u w:val="single"/>
    </w:rPr>
  </w:style>
  <w:style w:type="paragraph" w:styleId="Revision">
    <w:name w:val="Revision"/>
    <w:hidden/>
    <w:uiPriority w:val="99"/>
    <w:semiHidden/>
    <w:rsid w:val="006036E5"/>
    <w:rPr>
      <w:rFonts w:ascii="Times New Roman" w:eastAsia="Times New Roman" w:hAnsi="Times New Roman"/>
      <w:sz w:val="24"/>
      <w:szCs w:val="24"/>
      <w:lang w:val="en-GB"/>
    </w:rPr>
  </w:style>
  <w:style w:type="character" w:customStyle="1" w:styleId="Orangehighlight">
    <w:name w:val="Orange highlight"/>
    <w:basedOn w:val="DefaultParagraphFont"/>
    <w:uiPriority w:val="1"/>
    <w:qFormat/>
    <w:rsid w:val="00535594"/>
    <w:rPr>
      <w:rFonts w:asciiTheme="minorHAnsi" w:hAnsiTheme="minorHAnsi" w:cs="Arial"/>
      <w:color w:val="EB6724" w:themeColor="text2"/>
      <w:sz w:val="22"/>
      <w:szCs w:val="22"/>
    </w:rPr>
  </w:style>
  <w:style w:type="table" w:styleId="TableGrid">
    <w:name w:val="Table Grid"/>
    <w:basedOn w:val="TableNormal"/>
    <w:uiPriority w:val="59"/>
    <w:locked/>
    <w:rsid w:val="00535594"/>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qFormat/>
    <w:rsid w:val="00535594"/>
    <w:pPr>
      <w:widowControl w:val="0"/>
      <w:autoSpaceDE w:val="0"/>
      <w:autoSpaceDN w:val="0"/>
      <w:adjustRightInd w:val="0"/>
      <w:spacing w:after="0" w:line="240" w:lineRule="auto"/>
      <w:ind w:right="-96"/>
    </w:pPr>
    <w:rPr>
      <w:rFonts w:cs="Arial"/>
      <w:bCs/>
      <w:szCs w:val="22"/>
    </w:rPr>
  </w:style>
  <w:style w:type="paragraph" w:customStyle="1" w:styleId="Level2bullet">
    <w:name w:val="Level 2 bullet"/>
    <w:basedOn w:val="ListParagraph"/>
    <w:qFormat/>
    <w:rsid w:val="00F453C5"/>
    <w:pPr>
      <w:numPr>
        <w:ilvl w:val="1"/>
        <w:numId w:val="13"/>
      </w:numPr>
    </w:pPr>
  </w:style>
  <w:style w:type="character" w:styleId="UnresolvedMention">
    <w:name w:val="Unresolved Mention"/>
    <w:basedOn w:val="DefaultParagraphFont"/>
    <w:uiPriority w:val="99"/>
    <w:semiHidden/>
    <w:unhideWhenUsed/>
    <w:rsid w:val="00202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346364">
      <w:bodyDiv w:val="1"/>
      <w:marLeft w:val="0"/>
      <w:marRight w:val="0"/>
      <w:marTop w:val="0"/>
      <w:marBottom w:val="0"/>
      <w:divBdr>
        <w:top w:val="none" w:sz="0" w:space="0" w:color="auto"/>
        <w:left w:val="none" w:sz="0" w:space="0" w:color="auto"/>
        <w:bottom w:val="none" w:sz="0" w:space="0" w:color="auto"/>
        <w:right w:val="none" w:sz="0" w:space="0" w:color="auto"/>
      </w:divBdr>
    </w:div>
    <w:div w:id="793063182">
      <w:bodyDiv w:val="1"/>
      <w:marLeft w:val="0"/>
      <w:marRight w:val="0"/>
      <w:marTop w:val="0"/>
      <w:marBottom w:val="0"/>
      <w:divBdr>
        <w:top w:val="none" w:sz="0" w:space="0" w:color="auto"/>
        <w:left w:val="none" w:sz="0" w:space="0" w:color="auto"/>
        <w:bottom w:val="none" w:sz="0" w:space="0" w:color="auto"/>
        <w:right w:val="none" w:sz="0" w:space="0" w:color="auto"/>
      </w:divBdr>
    </w:div>
    <w:div w:id="980189013">
      <w:marLeft w:val="0"/>
      <w:marRight w:val="0"/>
      <w:marTop w:val="0"/>
      <w:marBottom w:val="0"/>
      <w:divBdr>
        <w:top w:val="none" w:sz="0" w:space="0" w:color="auto"/>
        <w:left w:val="none" w:sz="0" w:space="0" w:color="auto"/>
        <w:bottom w:val="none" w:sz="0" w:space="0" w:color="auto"/>
        <w:right w:val="none" w:sz="0" w:space="0" w:color="auto"/>
      </w:divBdr>
    </w:div>
    <w:div w:id="980189014">
      <w:marLeft w:val="0"/>
      <w:marRight w:val="0"/>
      <w:marTop w:val="0"/>
      <w:marBottom w:val="0"/>
      <w:divBdr>
        <w:top w:val="none" w:sz="0" w:space="0" w:color="auto"/>
        <w:left w:val="none" w:sz="0" w:space="0" w:color="auto"/>
        <w:bottom w:val="none" w:sz="0" w:space="0" w:color="auto"/>
        <w:right w:val="none" w:sz="0" w:space="0" w:color="auto"/>
      </w:divBdr>
    </w:div>
    <w:div w:id="980189015">
      <w:marLeft w:val="0"/>
      <w:marRight w:val="0"/>
      <w:marTop w:val="0"/>
      <w:marBottom w:val="0"/>
      <w:divBdr>
        <w:top w:val="none" w:sz="0" w:space="0" w:color="auto"/>
        <w:left w:val="none" w:sz="0" w:space="0" w:color="auto"/>
        <w:bottom w:val="none" w:sz="0" w:space="0" w:color="auto"/>
        <w:right w:val="none" w:sz="0" w:space="0" w:color="auto"/>
      </w:divBdr>
    </w:div>
    <w:div w:id="206918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inkbrainhealth.org/resources/"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s://www.thinkbrainhealth.org/about/recommendations/" TargetMode="External"/><Relationship Id="rId12" Type="http://schemas.openxmlformats.org/officeDocument/2006/relationships/hyperlink" Target="https://www.linkedin.com/showcase/ms-brain-health/?viewAsMember=truet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twitter.com/msbrainhealt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hinkbrainhealth.org/partners/" TargetMode="External"/><Relationship Id="rId4" Type="http://schemas.openxmlformats.org/officeDocument/2006/relationships/settings" Target="settings.xml"/><Relationship Id="rId9" Type="http://schemas.openxmlformats.org/officeDocument/2006/relationships/hyperlink" Target="http://www.thinkbrainhealth.org/even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Brain health - time matters">
      <a:dk1>
        <a:sysClr val="windowText" lastClr="000000"/>
      </a:dk1>
      <a:lt1>
        <a:sysClr val="window" lastClr="FFFFFF"/>
      </a:lt1>
      <a:dk2>
        <a:srgbClr val="EB6724"/>
      </a:dk2>
      <a:lt2>
        <a:srgbClr val="346B2D"/>
      </a:lt2>
      <a:accent1>
        <a:srgbClr val="EB6724"/>
      </a:accent1>
      <a:accent2>
        <a:srgbClr val="000000"/>
      </a:accent2>
      <a:accent3>
        <a:srgbClr val="F8B135"/>
      </a:accent3>
      <a:accent4>
        <a:srgbClr val="346B2D"/>
      </a:accent4>
      <a:accent5>
        <a:srgbClr val="9D3E37"/>
      </a:accent5>
      <a:accent6>
        <a:srgbClr val="80817F"/>
      </a:accent6>
      <a:hlink>
        <a:srgbClr val="346B2D"/>
      </a:hlink>
      <a:folHlink>
        <a:srgbClr val="C7D32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36CFE-C6C7-4732-936E-6104973C5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590</Words>
  <Characters>3896</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MS Brain Health initiative: invitation to endorse</vt:lpstr>
    </vt:vector>
  </TitlesOfParts>
  <Company>Hewlett-Packard Company</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Brain Health initiative: invitation to endorse</dc:title>
  <dc:creator>MS Brain Health initiative</dc:creator>
  <cp:lastModifiedBy>Victoria Woods</cp:lastModifiedBy>
  <cp:revision>3</cp:revision>
  <cp:lastPrinted>2018-03-23T16:31:00Z</cp:lastPrinted>
  <dcterms:created xsi:type="dcterms:W3CDTF">2021-07-09T14:09:00Z</dcterms:created>
  <dcterms:modified xsi:type="dcterms:W3CDTF">2021-07-09T14:12:00Z</dcterms:modified>
</cp:coreProperties>
</file>